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520C84" w:rsidTr="00520C84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0" w:name="z1927"/>
      <w:r w:rsidRPr="006F7A4E">
        <w:rPr>
          <w:b/>
          <w:color w:val="000000"/>
          <w:lang w:val="ru-RU"/>
        </w:rPr>
        <w:t xml:space="preserve"> Регламент государственной услуги "Постановка на учет лиц, желающих усыновить детей" </w:t>
      </w:r>
    </w:p>
    <w:bookmarkEnd w:id="0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</w:t>
      </w:r>
      <w:proofErr w:type="spellStart"/>
      <w:r w:rsidRPr="006F7A4E">
        <w:rPr>
          <w:color w:val="FF0000"/>
          <w:sz w:val="20"/>
          <w:lang w:val="ru-RU"/>
        </w:rPr>
        <w:t>акимата</w:t>
      </w:r>
      <w:proofErr w:type="spellEnd"/>
      <w:r w:rsidRPr="006F7A4E">
        <w:rPr>
          <w:color w:val="FF0000"/>
          <w:sz w:val="20"/>
          <w:lang w:val="ru-RU"/>
        </w:rPr>
        <w:t xml:space="preserve"> Северо-Казахстанской области от 20.06.2017 № 255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1" w:name="z1928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2" w:name="z2152"/>
      <w:bookmarkEnd w:id="1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"Постановка на учет лиц, желающих усыновить детей" (далее – Регламент) разработан в соответствии со стандартом государственной услуги "Постановка на учет лиц, желающих усыновить детей", утвержденный приказом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(далее – Стандарт) (зарегистрирован в Реестре государственной регистрации нормативных правовых</w:t>
      </w:r>
      <w:proofErr w:type="gramEnd"/>
      <w:r w:rsidRPr="006F7A4E">
        <w:rPr>
          <w:color w:val="000000"/>
          <w:sz w:val="20"/>
          <w:lang w:val="ru-RU"/>
        </w:rPr>
        <w:t xml:space="preserve"> актов за № 11184), оказывается местными исполнительными органами районов и города областного значения согласно приложению 1 к настоящему Регламенту (далее -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bookmarkEnd w:id="2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Прием заявления для оказания государственной услуги осуществляется </w:t>
      </w:r>
      <w:proofErr w:type="gramStart"/>
      <w:r w:rsidRPr="006F7A4E">
        <w:rPr>
          <w:color w:val="000000"/>
          <w:sz w:val="20"/>
          <w:lang w:val="ru-RU"/>
        </w:rPr>
        <w:t>через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– портал).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2. Форма оказания государственной услуги – электронная (частично автоматизированная)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Результат оказания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 обращении к </w:t>
      </w:r>
      <w:proofErr w:type="spellStart"/>
      <w:r w:rsidRPr="006F7A4E">
        <w:rPr>
          <w:color w:val="000000"/>
          <w:sz w:val="20"/>
          <w:lang w:val="ru-RU"/>
        </w:rPr>
        <w:t>услугодателю</w:t>
      </w:r>
      <w:proofErr w:type="spellEnd"/>
      <w:r w:rsidRPr="006F7A4E">
        <w:rPr>
          <w:color w:val="000000"/>
          <w:sz w:val="20"/>
          <w:lang w:val="ru-RU"/>
        </w:rPr>
        <w:t xml:space="preserve"> – заключение о возможности (невозможности) быть кандидатом (</w:t>
      </w:r>
      <w:proofErr w:type="spellStart"/>
      <w:r w:rsidRPr="006F7A4E">
        <w:rPr>
          <w:color w:val="000000"/>
          <w:sz w:val="20"/>
          <w:lang w:val="ru-RU"/>
        </w:rPr>
        <w:t>ами</w:t>
      </w:r>
      <w:proofErr w:type="spellEnd"/>
      <w:r w:rsidRPr="006F7A4E">
        <w:rPr>
          <w:color w:val="000000"/>
          <w:sz w:val="20"/>
          <w:lang w:val="ru-RU"/>
        </w:rPr>
        <w:t>) в усыновители по форме согласно приложению 1 к Стандарту.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На портал – уведомление о готовности заключения о возможности (невозможности) быть кандидато</w:t>
      </w:r>
      <w:proofErr w:type="gramStart"/>
      <w:r w:rsidRPr="006F7A4E">
        <w:rPr>
          <w:color w:val="000000"/>
          <w:sz w:val="20"/>
          <w:lang w:val="ru-RU"/>
        </w:rPr>
        <w:t>м(</w:t>
      </w:r>
      <w:proofErr w:type="spellStart"/>
      <w:proofErr w:type="gramEnd"/>
      <w:r w:rsidRPr="006F7A4E">
        <w:rPr>
          <w:color w:val="000000"/>
          <w:sz w:val="20"/>
          <w:lang w:val="ru-RU"/>
        </w:rPr>
        <w:t>ами</w:t>
      </w:r>
      <w:proofErr w:type="spellEnd"/>
      <w:r w:rsidRPr="006F7A4E">
        <w:rPr>
          <w:color w:val="000000"/>
          <w:sz w:val="20"/>
          <w:lang w:val="ru-RU"/>
        </w:rPr>
        <w:t>) в усыновители по форме согласно приложению 2 к Стандарту.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После получения уведомления,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необходимо обратиться по указанному в уведомлении адресу для получения заключения о возможности (невозможности) быть кандидато</w:t>
      </w:r>
      <w:proofErr w:type="gramStart"/>
      <w:r w:rsidRPr="006F7A4E">
        <w:rPr>
          <w:color w:val="000000"/>
          <w:sz w:val="20"/>
          <w:lang w:val="ru-RU"/>
        </w:rPr>
        <w:t>м(</w:t>
      </w:r>
      <w:proofErr w:type="spellStart"/>
      <w:proofErr w:type="gramEnd"/>
      <w:r w:rsidRPr="006F7A4E">
        <w:rPr>
          <w:color w:val="000000"/>
          <w:sz w:val="20"/>
          <w:lang w:val="ru-RU"/>
        </w:rPr>
        <w:t>ами</w:t>
      </w:r>
      <w:proofErr w:type="spellEnd"/>
      <w:r w:rsidRPr="006F7A4E">
        <w:rPr>
          <w:color w:val="000000"/>
          <w:sz w:val="20"/>
          <w:lang w:val="ru-RU"/>
        </w:rPr>
        <w:t>) в усыновители.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-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Государственная услуга оказывается бесплатно физическим лицам (далее -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от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соответствующих документов (далее - пакет документов):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о желании усыновить детей (в произвольной форме);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документ, удостоверяющий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(требуется для идентификации личности);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письменное согласие близких родственников на усыновление ребенка;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всех совместно проживающих членов семьи);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справка о семейном положении (копия свидетельства о заключении (расторжении) брака (супружестве) в случае заключения (расторжения) брака до 2008 года, копии свидетельств о рождении детей в случае рождения ребенка до 13 августа 2007 года либо за пределами Республики Казахстан (при наличии детей);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6) справки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>правовых актов 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Республики Казахстан за № 6697).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5. Основания для отказа в оказании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несовершеннолетие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признание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судом недееспособным или ограниченно дееспособным;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признание судом одного из супругов недееспособным или ограниченно дееспособным;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лишение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судом родительских прав или ограничение судом в родительских правах;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отстранение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от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6) решение суда об отмене усыновления по вине бывших усыновителей;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наличие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заболеваний, препятствующих осуществлению родительских прав;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постоянного места жительства;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9) нетрадиционная сексуальная ориентация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настоящего пункта;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11) отсутствие гражданства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14) состояние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учете в наркологическом или психоневрологическом диспансерах;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</w:r>
      <w:proofErr w:type="gramEnd"/>
      <w:r w:rsidRPr="006F7A4E">
        <w:rPr>
          <w:color w:val="000000"/>
          <w:sz w:val="20"/>
          <w:lang w:val="ru-RU"/>
        </w:rPr>
        <w:t xml:space="preserve"> людьми.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документов, 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4 настоящего Регламента и (или) документов с истекшим сроком действия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отказывает в приеме заявления;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составляет акт обследования жилищно-бытовых условий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 форме согласно приложению 3 к Стандарту - 10 (десять) календарных дней.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календарных дня;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в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регистрация пакета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подписание руководителем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проекта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подписанный результат оказания государственной услуги и выдача его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которые участвуют в процессе оказания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9.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документов, 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4 настоящего Регламента и (или) документов с истекшим сроком действия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отказывает в приеме заявления;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составляет акт обследования жилищно-бытовых условий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 форме согласно приложению 3 к Стандарту - 10 (десять) календарных дней.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календарных дня;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в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Описание последовательности процедур (действий) между структурными подразделениями (работниками) с указанием длительности каждой процедуры (действия, необходимых для оказания государственной услуги, с указанием длительности выполнения каждой процедуры (действия) приведено в справочнике бизнес-процессов оказания государственной услуги согласно приложению 2 к настоящему Регламенту. 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4. Описание порядка взаимодействия с иными </w:t>
      </w:r>
      <w:proofErr w:type="spellStart"/>
      <w:r w:rsidRPr="006F7A4E">
        <w:rPr>
          <w:b/>
          <w:color w:val="000000"/>
          <w:lang w:val="ru-RU"/>
        </w:rPr>
        <w:t>услугодателями</w:t>
      </w:r>
      <w:proofErr w:type="spellEnd"/>
      <w:r w:rsidRPr="006F7A4E">
        <w:rPr>
          <w:b/>
          <w:color w:val="00000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электронной цифровой подписи (далее – ЭЦП);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документов: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 в форме электронного документа, удостоверенный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письменного согласия близких родственников на усыновление ребенка;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всех совместно проживающих членов семьи);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справки о семейном положении (копия свидетельства о заключении (расторжении) брака (супружестве) в случае заключения (расторжения) брака до 2008 года, копии свидетельств о рождении детей в случае рождения ребенка до 13 августа 2007 года либо за пределами Республики Казахстан (при наличии детей);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электронная копии справок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</w:t>
      </w:r>
      <w:proofErr w:type="gramStart"/>
      <w:r w:rsidRPr="006F7A4E">
        <w:rPr>
          <w:color w:val="000000"/>
          <w:sz w:val="20"/>
          <w:lang w:val="ru-RU"/>
        </w:rPr>
        <w:t>нормативных правовых актов 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Республики Казахстан за № 6697);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с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</w:t>
      </w:r>
      <w:proofErr w:type="spellStart"/>
      <w:r w:rsidRPr="006F7A4E">
        <w:rPr>
          <w:color w:val="000000"/>
          <w:sz w:val="20"/>
          <w:lang w:val="ru-RU"/>
        </w:rPr>
        <w:t>государственой</w:t>
      </w:r>
      <w:proofErr w:type="spellEnd"/>
      <w:r w:rsidRPr="006F7A4E">
        <w:rPr>
          <w:color w:val="000000"/>
          <w:sz w:val="20"/>
          <w:lang w:val="ru-RU"/>
        </w:rPr>
        <w:t xml:space="preserve">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График работы портала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осуществляется следующим рабочим днем).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6F7A4E">
        <w:rPr>
          <w:color w:val="000000"/>
          <w:sz w:val="20"/>
          <w:lang w:val="ru-RU"/>
        </w:rPr>
        <w:t>услугодателями</w:t>
      </w:r>
      <w:proofErr w:type="spellEnd"/>
      <w:r w:rsidRPr="006F7A4E">
        <w:rPr>
          <w:color w:val="000000"/>
          <w:sz w:val="20"/>
          <w:lang w:val="ru-RU"/>
        </w:rPr>
        <w:t xml:space="preserve">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услуги, согласно приложению 3 к настоящему Регламенту.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Адреса мест оказания государственной услуги размещены </w:t>
      </w:r>
      <w:proofErr w:type="gramStart"/>
      <w:r w:rsidRPr="006F7A4E">
        <w:rPr>
          <w:color w:val="000000"/>
          <w:sz w:val="20"/>
          <w:lang w:val="ru-RU"/>
        </w:rPr>
        <w:t>на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gramStart"/>
      <w:r w:rsidRPr="006F7A4E">
        <w:rPr>
          <w:color w:val="000000"/>
          <w:sz w:val="20"/>
          <w:lang w:val="ru-RU"/>
        </w:rPr>
        <w:t>портале</w:t>
      </w:r>
      <w:proofErr w:type="gramEnd"/>
      <w:r w:rsidRPr="006F7A4E">
        <w:rPr>
          <w:color w:val="000000"/>
          <w:sz w:val="20"/>
          <w:lang w:val="ru-RU"/>
        </w:rPr>
        <w:t xml:space="preserve">: 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"1414".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13. Контактные телефоны справочных служб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интернет-ресурсах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bala</w:t>
      </w:r>
      <w:proofErr w:type="spellEnd"/>
      <w:r w:rsidRPr="006F7A4E">
        <w:rPr>
          <w:color w:val="000000"/>
          <w:sz w:val="20"/>
          <w:lang w:val="ru-RU"/>
        </w:rPr>
        <w:t>-</w:t>
      </w:r>
      <w:proofErr w:type="spellStart"/>
      <w:r>
        <w:rPr>
          <w:color w:val="000000"/>
          <w:sz w:val="20"/>
        </w:rPr>
        <w:t>kkk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 Единый контакт-центр по вопросам оказания государственных услуг "1414".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14.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</w:t>
      </w:r>
      <w:proofErr w:type="gramStart"/>
      <w:r w:rsidRPr="006F7A4E">
        <w:rPr>
          <w:color w:val="000000"/>
          <w:sz w:val="20"/>
          <w:lang w:val="ru-RU"/>
        </w:rPr>
        <w:t>при</w:t>
      </w:r>
      <w:proofErr w:type="gramEnd"/>
      <w:r w:rsidRPr="006F7A4E">
        <w:rPr>
          <w:color w:val="000000"/>
          <w:sz w:val="20"/>
          <w:lang w:val="ru-RU"/>
        </w:rPr>
        <w:t xml:space="preserve"> условий наличия ЭЦП.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520C8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"Постановка на учет лиц, желающих усыновить детей"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50"/>
        <w:gridCol w:w="2580"/>
        <w:gridCol w:w="1920"/>
        <w:gridCol w:w="4712"/>
      </w:tblGrid>
      <w:tr w:rsidR="005A57C1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город Петропавловск,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23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Северо-Казахстанской области"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Талшик,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Целинная, 13а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Смирново,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Труда, 16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Ленина, 12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Пресновка,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Комарова, 16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отдел образования"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аул Бесколь,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Молодежная, 2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Северо-Казахстанской области"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Ленина, 2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206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Тимирязевского района Северо-Казахстанской области"</w:t>
            </w:r>
            <w:r w:rsidRPr="006F7A4E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Тимирязевский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Тимирязево,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Валиханова, 25</w:t>
            </w:r>
            <w:r w:rsidRPr="006F7A4E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Жамбыла, 76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</w:tr>
      <w:tr w:rsidR="005A57C1" w:rsidRPr="00520C84">
        <w:trPr>
          <w:trHeight w:val="30"/>
          <w:tblCellSpacing w:w="0" w:type="auto"/>
        </w:trPr>
        <w:tc>
          <w:tcPr>
            <w:tcW w:w="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района Шал акына"</w:t>
            </w:r>
          </w:p>
        </w:tc>
        <w:tc>
          <w:tcPr>
            <w:tcW w:w="1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Северо-Казахстанская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область, района Шал акына,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город Сергеевка, улица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8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 включительно, с 9.00 до 18.30 часов, с перерывом на обед с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520C8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"Постановка на учет лиц, желающих усыновить детей"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79800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374900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520C8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"Постановка на учет лиц, желающих усыновить детей"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49700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679700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3D8" w:rsidRPr="006F7A4E" w:rsidRDefault="002F7740" w:rsidP="005203D8">
      <w:pPr>
        <w:spacing w:after="0"/>
        <w:rPr>
          <w:color w:val="000000"/>
          <w:lang w:val="ru-RU"/>
        </w:rPr>
      </w:pPr>
      <w:r>
        <w:br/>
      </w:r>
    </w:p>
    <w:sectPr w:rsidR="005203D8" w:rsidRPr="006F7A4E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C1"/>
    <w:rsid w:val="001E208F"/>
    <w:rsid w:val="002F7740"/>
    <w:rsid w:val="00370F02"/>
    <w:rsid w:val="005203D8"/>
    <w:rsid w:val="00520C84"/>
    <w:rsid w:val="005A57C1"/>
    <w:rsid w:val="006F7A4E"/>
    <w:rsid w:val="00796F33"/>
    <w:rsid w:val="00B078A2"/>
    <w:rsid w:val="00DD3F57"/>
    <w:rsid w:val="00DF0806"/>
    <w:rsid w:val="00DF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2019-04-01T06:20:00Z</dcterms:created>
  <dcterms:modified xsi:type="dcterms:W3CDTF">2019-04-12T11:08:00Z</dcterms:modified>
</cp:coreProperties>
</file>